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2275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Style w:val="a3"/>
          <w:color w:val="0F1115"/>
        </w:rPr>
      </w:pPr>
    </w:p>
    <w:p w14:paraId="1E10622E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2E298862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67816FDD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4DCB2763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3AD9D2FD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392C09F5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72932A7C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177AC128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  <w:r w:rsidRPr="005C0B36">
        <w:rPr>
          <w:rStyle w:val="a3"/>
          <w:color w:val="0F1115"/>
        </w:rPr>
        <w:t>ОТЧЕТ</w:t>
      </w:r>
      <w:r w:rsidRPr="005C0B36">
        <w:rPr>
          <w:color w:val="0F1115"/>
        </w:rPr>
        <w:br/>
      </w:r>
      <w:r w:rsidRPr="005C0B36">
        <w:rPr>
          <w:rStyle w:val="a3"/>
          <w:color w:val="0F1115"/>
        </w:rPr>
        <w:t>о проведении IV Международной научно-практической конференции</w:t>
      </w:r>
      <w:r w:rsidRPr="005C0B36">
        <w:rPr>
          <w:color w:val="0F1115"/>
        </w:rPr>
        <w:br/>
      </w:r>
      <w:r w:rsidRPr="005C0B36">
        <w:rPr>
          <w:rStyle w:val="a3"/>
          <w:color w:val="0F1115"/>
        </w:rPr>
        <w:t>«Устойчивое развитие регионов: проблемы и перспективы»</w:t>
      </w:r>
    </w:p>
    <w:p w14:paraId="4505BE34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309DD291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7501321E" w14:textId="1E752B7A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  <w:r w:rsidRPr="005C0B36">
        <w:rPr>
          <w:rStyle w:val="a3"/>
          <w:color w:val="0F1115"/>
        </w:rPr>
        <w:t>9–10 октября 2025 года</w:t>
      </w:r>
    </w:p>
    <w:p w14:paraId="1362E756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569F595E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038C40F9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7C4EA373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388327A8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66F21D57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038ACE24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11F52AAE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27C82921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2D804EB5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0AECE32C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24B52513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0F3B4C79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7B0F302E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</w:p>
    <w:p w14:paraId="63FB6725" w14:textId="10B855D1" w:rsidR="005C0B36" w:rsidRP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Style w:val="a3"/>
          <w:color w:val="0F1115"/>
        </w:rPr>
      </w:pPr>
      <w:r>
        <w:rPr>
          <w:rStyle w:val="a3"/>
          <w:color w:val="0F1115"/>
        </w:rPr>
        <w:t>Санкт-Петербург</w:t>
      </w:r>
      <w:r w:rsidRPr="005C0B36">
        <w:rPr>
          <w:color w:val="0F1115"/>
        </w:rPr>
        <w:br/>
      </w:r>
    </w:p>
    <w:p w14:paraId="29208B56" w14:textId="77777777" w:rsidR="005C0B36" w:rsidRPr="005C0B36" w:rsidRDefault="005C0B36" w:rsidP="005C0B36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color w:val="0F1115"/>
        </w:rPr>
      </w:pPr>
    </w:p>
    <w:p w14:paraId="3EB0E5C9" w14:textId="7CA1C8C0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 xml:space="preserve">В период с 9 по 10 октября 2025 года </w:t>
      </w:r>
      <w:r w:rsidR="000A4BF3">
        <w:rPr>
          <w:color w:val="0F1115"/>
        </w:rPr>
        <w:t xml:space="preserve">в Санкт-Петербурге и Москве, </w:t>
      </w:r>
      <w:r w:rsidRPr="005C0B36">
        <w:rPr>
          <w:color w:val="0F1115"/>
        </w:rPr>
        <w:t>в гибридном формате состоялась IV Международная научно-практическая конференция «Устойчивое развитие регионов: проблемы и перспективы»</w:t>
      </w:r>
      <w:r w:rsidR="000A4BF3">
        <w:rPr>
          <w:color w:val="0F1115"/>
        </w:rPr>
        <w:t xml:space="preserve"> (далее - конференция)</w:t>
      </w:r>
      <w:r w:rsidRPr="005C0B36">
        <w:rPr>
          <w:color w:val="0F1115"/>
        </w:rPr>
        <w:t>. Конференция проводится ежегодно Институтом проблем региональной экономики РАН с целью апробации результатов научных исследований по ПФНИ 7.5.2.1. «Теория и инструментальная база анализа пространственной экономики; закономерности трансформации социально-экономического пространства Российской Федерации; российские регионы и их взаимодействие», а также с целью анализа социально-экономических и экологических проблем и перспектив устойчивого развития регионов в условиях современных глобальных вызовов.</w:t>
      </w:r>
    </w:p>
    <w:p w14:paraId="236C26B7" w14:textId="77777777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1. Организаторы и участники</w:t>
      </w:r>
    </w:p>
    <w:p w14:paraId="0715F407" w14:textId="77777777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>Организационный комитет конференции представляли:</w:t>
      </w:r>
    </w:p>
    <w:p w14:paraId="703F7733" w14:textId="77777777" w:rsidR="005C0B36" w:rsidRPr="005C0B36" w:rsidRDefault="005C0B36" w:rsidP="005C0B3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color w:val="0F1115"/>
        </w:rPr>
        <w:t>Отделение общественных наук РАН;</w:t>
      </w:r>
    </w:p>
    <w:p w14:paraId="4DCCC461" w14:textId="77777777" w:rsidR="005C0B36" w:rsidRPr="005C0B36" w:rsidRDefault="005C0B36" w:rsidP="005C0B3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color w:val="0F1115"/>
        </w:rPr>
        <w:t>Санкт-Петербургское отделение РАН;</w:t>
      </w:r>
    </w:p>
    <w:p w14:paraId="4396A9F6" w14:textId="77777777" w:rsidR="005C0B36" w:rsidRPr="005C0B36" w:rsidRDefault="005C0B36" w:rsidP="005C0B3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color w:val="0F1115"/>
        </w:rPr>
        <w:t>Институт проблем региональной экономики РАН;</w:t>
      </w:r>
    </w:p>
    <w:p w14:paraId="06030B5A" w14:textId="77777777" w:rsidR="005C0B36" w:rsidRPr="005C0B36" w:rsidRDefault="005C0B36" w:rsidP="005C0B3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color w:val="0F1115"/>
        </w:rPr>
        <w:t>Институт экономики НАН Беларуси;</w:t>
      </w:r>
    </w:p>
    <w:p w14:paraId="4085A979" w14:textId="77777777" w:rsidR="005C0B36" w:rsidRDefault="005C0B36" w:rsidP="005C0B3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color w:val="0F1115"/>
        </w:rPr>
        <w:t>Российский химико-технологический университет им. Д.И. Менделеева.</w:t>
      </w:r>
    </w:p>
    <w:p w14:paraId="286A1FB4" w14:textId="77777777" w:rsidR="005C0B36" w:rsidRDefault="005C0B36" w:rsidP="005C0B3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14:paraId="3DD72C06" w14:textId="4E61CD6D" w:rsidR="005C0B36" w:rsidRPr="005C0B36" w:rsidRDefault="000A4BF3" w:rsidP="005C0B3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Конференция</w:t>
      </w:r>
      <w:r w:rsidR="005C0B36" w:rsidRPr="005C0B36">
        <w:rPr>
          <w:color w:val="0F1115"/>
        </w:rPr>
        <w:t xml:space="preserve"> прошл</w:t>
      </w:r>
      <w:r>
        <w:rPr>
          <w:color w:val="0F1115"/>
        </w:rPr>
        <w:t>а</w:t>
      </w:r>
      <w:r w:rsidR="005C0B36" w:rsidRPr="005C0B36">
        <w:rPr>
          <w:color w:val="0F1115"/>
        </w:rPr>
        <w:t xml:space="preserve"> при поддержке общественной организации «Молодая Гвардия Единой России».</w:t>
      </w:r>
    </w:p>
    <w:p w14:paraId="02C0C218" w14:textId="1695D11C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 xml:space="preserve">В работе конференции приняли очное и дистанционное участие свыше 150 представителей научно-исследовательских институтов, высших учебных заведений, государственных структур и реального сектора экономики. География участников </w:t>
      </w:r>
      <w:r w:rsidR="000A4BF3">
        <w:rPr>
          <w:color w:val="0F1115"/>
        </w:rPr>
        <w:t>охватывает</w:t>
      </w:r>
      <w:r w:rsidRPr="005C0B36">
        <w:rPr>
          <w:color w:val="0F1115"/>
        </w:rPr>
        <w:t xml:space="preserve"> 11 государств, включая Российскую Федерацию, Республику Беларусь, Республику Сербия, Республику Узбекистан, Туркменистан, Азербайджанскую Республику, Кыргызскую Республику, Республику Казахстан, Литовскую Республику, Исламскую Республику Иран, а также </w:t>
      </w:r>
      <w:r w:rsidR="00BB670B">
        <w:rPr>
          <w:color w:val="0F1115"/>
        </w:rPr>
        <w:t xml:space="preserve">такие </w:t>
      </w:r>
      <w:r w:rsidRPr="005C0B36">
        <w:rPr>
          <w:color w:val="0F1115"/>
        </w:rPr>
        <w:t>регионы Росси</w:t>
      </w:r>
      <w:r>
        <w:rPr>
          <w:color w:val="0F1115"/>
        </w:rPr>
        <w:t>йской Федерации</w:t>
      </w:r>
      <w:r w:rsidR="00BB670B">
        <w:rPr>
          <w:color w:val="0F1115"/>
        </w:rPr>
        <w:t>, как Санкт-Петербург, Москва, Республика Карелия, Мурманская область, Ленинградская область, Вологодская область,</w:t>
      </w:r>
      <w:r w:rsidR="0040700A">
        <w:rPr>
          <w:color w:val="0F1115"/>
        </w:rPr>
        <w:t xml:space="preserve"> Новосибирская область,</w:t>
      </w:r>
      <w:r w:rsidR="00BB670B">
        <w:rPr>
          <w:color w:val="0F1115"/>
        </w:rPr>
        <w:t xml:space="preserve"> </w:t>
      </w:r>
      <w:r w:rsidR="0040700A">
        <w:rPr>
          <w:color w:val="0F1115"/>
        </w:rPr>
        <w:t xml:space="preserve">Приморский край, </w:t>
      </w:r>
      <w:r w:rsidR="00BB670B">
        <w:rPr>
          <w:color w:val="0F1115"/>
        </w:rPr>
        <w:t>Пермский край</w:t>
      </w:r>
      <w:r>
        <w:rPr>
          <w:color w:val="0F1115"/>
        </w:rPr>
        <w:t>.</w:t>
      </w:r>
    </w:p>
    <w:p w14:paraId="37E2B303" w14:textId="77777777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2. Научная программа и основные направления работы</w:t>
      </w:r>
    </w:p>
    <w:p w14:paraId="0EFA5EF3" w14:textId="77777777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>В 2025 году работа конференции была сфокусирована на следующих ключевых направлениях:</w:t>
      </w:r>
    </w:p>
    <w:p w14:paraId="36194720" w14:textId="77777777" w:rsidR="005C0B36" w:rsidRPr="005C0B36" w:rsidRDefault="005C0B36" w:rsidP="005C0B3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color w:val="0F1115"/>
        </w:rPr>
        <w:t>устойчивое развитие российских регионов;</w:t>
      </w:r>
    </w:p>
    <w:p w14:paraId="02CA6EF8" w14:textId="77777777" w:rsidR="005C0B36" w:rsidRPr="005C0B36" w:rsidRDefault="005C0B36" w:rsidP="005C0B3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color w:val="0F1115"/>
        </w:rPr>
        <w:t>регулирование региональной среды обитания;</w:t>
      </w:r>
    </w:p>
    <w:p w14:paraId="2B0FD97E" w14:textId="1DCD38EE" w:rsidR="005C0B36" w:rsidRPr="005C0B36" w:rsidRDefault="005C0B36" w:rsidP="005C0B3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color w:val="0F1115"/>
        </w:rPr>
        <w:t xml:space="preserve">создание системы </w:t>
      </w:r>
      <w:r w:rsidR="00BB670B">
        <w:rPr>
          <w:color w:val="0F1115"/>
        </w:rPr>
        <w:t xml:space="preserve">экологического благополучия регионов и </w:t>
      </w:r>
      <w:r w:rsidRPr="005C0B36">
        <w:rPr>
          <w:color w:val="0F1115"/>
        </w:rPr>
        <w:t>экологической безопасности населения;</w:t>
      </w:r>
    </w:p>
    <w:p w14:paraId="1A176F80" w14:textId="09BC75CD" w:rsidR="005C0B36" w:rsidRPr="005C0B36" w:rsidRDefault="005C0B36" w:rsidP="005C0B3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color w:val="0F1115"/>
        </w:rPr>
        <w:t xml:space="preserve">роль </w:t>
      </w:r>
      <w:r w:rsidR="00BB670B">
        <w:rPr>
          <w:color w:val="0F1115"/>
        </w:rPr>
        <w:t xml:space="preserve">новых моделей </w:t>
      </w:r>
      <w:r w:rsidRPr="005C0B36">
        <w:rPr>
          <w:color w:val="0F1115"/>
        </w:rPr>
        <w:t>экономики в эколого-экономической сбалансированности устойчивого развития регионов;</w:t>
      </w:r>
    </w:p>
    <w:p w14:paraId="101D38E0" w14:textId="77777777" w:rsidR="005C0B36" w:rsidRPr="005C0B36" w:rsidRDefault="005C0B36" w:rsidP="005C0B3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color w:val="0F1115"/>
        </w:rPr>
        <w:t>обеспечение продовольственной безопасности регионов.</w:t>
      </w:r>
    </w:p>
    <w:p w14:paraId="4C1BA5C4" w14:textId="77777777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>Особое внимание было уделено анализу механизмов и инструментов перехода к эколого-экономической сбалансированности регионального развития, а также реализации потенциала регионов и муниципалитетов в условиях геополитической турбулентности.</w:t>
      </w:r>
    </w:p>
    <w:p w14:paraId="5BB3397A" w14:textId="7EC94798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 xml:space="preserve">3. </w:t>
      </w:r>
      <w:r w:rsidR="000A4BF3">
        <w:rPr>
          <w:rStyle w:val="a3"/>
          <w:color w:val="0F1115"/>
        </w:rPr>
        <w:t>Порядок проведения</w:t>
      </w:r>
      <w:r w:rsidRPr="005C0B36">
        <w:rPr>
          <w:rStyle w:val="a3"/>
          <w:color w:val="0F1115"/>
        </w:rPr>
        <w:t xml:space="preserve"> и основные результаты</w:t>
      </w:r>
      <w:r w:rsidR="000A4BF3">
        <w:rPr>
          <w:rStyle w:val="a3"/>
          <w:color w:val="0F1115"/>
        </w:rPr>
        <w:t xml:space="preserve"> конференции</w:t>
      </w:r>
    </w:p>
    <w:p w14:paraId="5BC6C28F" w14:textId="77777777" w:rsidR="00434F3E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color w:val="0F1115"/>
        </w:rPr>
      </w:pPr>
      <w:r w:rsidRPr="005C0B36">
        <w:rPr>
          <w:rStyle w:val="a3"/>
          <w:color w:val="0F1115"/>
        </w:rPr>
        <w:lastRenderedPageBreak/>
        <w:t>3.1. Торжественное открытие и пленарное заседание</w:t>
      </w:r>
      <w:r w:rsidR="00434F3E">
        <w:rPr>
          <w:rStyle w:val="a3"/>
          <w:color w:val="0F1115"/>
        </w:rPr>
        <w:t xml:space="preserve">. </w:t>
      </w:r>
    </w:p>
    <w:p w14:paraId="05B0DF08" w14:textId="5682320B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 xml:space="preserve">Торжественное открытие конференции состоялось в Санкт-Петербурге в Особняке М.В. </w:t>
      </w:r>
      <w:proofErr w:type="spellStart"/>
      <w:r w:rsidRPr="005C0B36">
        <w:rPr>
          <w:color w:val="0F1115"/>
        </w:rPr>
        <w:t>Штифтера</w:t>
      </w:r>
      <w:proofErr w:type="spellEnd"/>
      <w:r w:rsidRPr="005C0B36">
        <w:rPr>
          <w:color w:val="0F1115"/>
        </w:rPr>
        <w:t>. С приветственными словами к участникам обратились:</w:t>
      </w:r>
    </w:p>
    <w:p w14:paraId="6D68E3FC" w14:textId="77777777" w:rsidR="005C0B36" w:rsidRPr="005C0B36" w:rsidRDefault="005C0B36" w:rsidP="005C0B3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Жуков И.А.</w:t>
      </w:r>
      <w:r w:rsidRPr="005C0B36">
        <w:rPr>
          <w:color w:val="0F1115"/>
        </w:rPr>
        <w:t xml:space="preserve">, </w:t>
      </w:r>
      <w:proofErr w:type="spellStart"/>
      <w:r w:rsidRPr="005C0B36">
        <w:rPr>
          <w:color w:val="0F1115"/>
        </w:rPr>
        <w:t>д.п.н</w:t>
      </w:r>
      <w:proofErr w:type="spellEnd"/>
      <w:r w:rsidRPr="005C0B36">
        <w:rPr>
          <w:color w:val="0F1115"/>
        </w:rPr>
        <w:t>., профессор, директор Санкт-Петербургского Дома национальностей;</w:t>
      </w:r>
    </w:p>
    <w:p w14:paraId="6BFF2F95" w14:textId="77777777" w:rsidR="005C0B36" w:rsidRPr="005C0B36" w:rsidRDefault="005C0B36" w:rsidP="005C0B3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Калмыков С.Н.</w:t>
      </w:r>
      <w:r w:rsidRPr="005C0B36">
        <w:rPr>
          <w:color w:val="0F1115"/>
        </w:rPr>
        <w:t>, д.х.н., профессор, вице-президент РАН;</w:t>
      </w:r>
    </w:p>
    <w:p w14:paraId="37D15CD8" w14:textId="77777777" w:rsidR="005C0B36" w:rsidRPr="005C0B36" w:rsidRDefault="005C0B36" w:rsidP="005C0B3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Сергеев В.В.</w:t>
      </w:r>
      <w:r w:rsidRPr="005C0B36">
        <w:rPr>
          <w:color w:val="0F1115"/>
        </w:rPr>
        <w:t>, д.т.н., профессор, член-корр. РАН, главный ученый секретарь Санкт-Петербургского отделения РАН;</w:t>
      </w:r>
    </w:p>
    <w:p w14:paraId="75E38BBA" w14:textId="77777777" w:rsidR="005C0B36" w:rsidRPr="005C0B36" w:rsidRDefault="005C0B36" w:rsidP="005C0B3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Окрепилов В.В.</w:t>
      </w:r>
      <w:r w:rsidRPr="005C0B36">
        <w:rPr>
          <w:color w:val="0F1115"/>
        </w:rPr>
        <w:t>, д.э.н., профессор, академик РАН, научный руководитель Института проблем региональной экономики РАН;</w:t>
      </w:r>
    </w:p>
    <w:p w14:paraId="357466CA" w14:textId="77777777" w:rsidR="005C0B36" w:rsidRPr="005C0B36" w:rsidRDefault="005C0B36" w:rsidP="005C0B3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Муха Д.В.</w:t>
      </w:r>
      <w:r w:rsidRPr="005C0B36">
        <w:rPr>
          <w:color w:val="0F1115"/>
        </w:rPr>
        <w:t>, к.э.н., доцент, директор Института экономики НАН Беларуси;</w:t>
      </w:r>
    </w:p>
    <w:p w14:paraId="4D9835EA" w14:textId="77777777" w:rsidR="005C0B36" w:rsidRPr="005C0B36" w:rsidRDefault="005C0B36" w:rsidP="005C0B3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Филатов С.Н.</w:t>
      </w:r>
      <w:r w:rsidRPr="005C0B36">
        <w:rPr>
          <w:color w:val="0F1115"/>
        </w:rPr>
        <w:t>, д.х.н., профессор, ректор Российского химико-технологического университета им. Д.И. Менделеева.</w:t>
      </w:r>
    </w:p>
    <w:p w14:paraId="63592660" w14:textId="19D8FC2A" w:rsidR="005C0B36" w:rsidRPr="00434F3E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>В рамках пленарного заседания под председательством д.э.н., профессора </w:t>
      </w:r>
      <w:r w:rsidRPr="005C0B36">
        <w:rPr>
          <w:rStyle w:val="a3"/>
          <w:color w:val="0F1115"/>
        </w:rPr>
        <w:t>Кузнецова</w:t>
      </w:r>
      <w:r w:rsidR="000A4BF3">
        <w:rPr>
          <w:rStyle w:val="a3"/>
          <w:color w:val="0F1115"/>
        </w:rPr>
        <w:t> </w:t>
      </w:r>
      <w:r w:rsidRPr="005C0B36">
        <w:rPr>
          <w:rStyle w:val="a3"/>
          <w:color w:val="0F1115"/>
        </w:rPr>
        <w:t>С.В.</w:t>
      </w:r>
      <w:r w:rsidR="000A4BF3">
        <w:rPr>
          <w:color w:val="0F1115"/>
        </w:rPr>
        <w:t xml:space="preserve"> </w:t>
      </w:r>
      <w:r w:rsidRPr="005C0B36">
        <w:rPr>
          <w:color w:val="0F1115"/>
        </w:rPr>
        <w:t>и д.э.н., профессора </w:t>
      </w:r>
      <w:r w:rsidRPr="005C0B36">
        <w:rPr>
          <w:rStyle w:val="a3"/>
          <w:color w:val="0F1115"/>
        </w:rPr>
        <w:t>Замятиной М.Ф.</w:t>
      </w:r>
      <w:r w:rsidRPr="005C0B36">
        <w:rPr>
          <w:color w:val="0F1115"/>
        </w:rPr>
        <w:t xml:space="preserve"> были заслушаны доклады, посвященные системному анализу новых моделей экономики, механизмам адаптивности в </w:t>
      </w:r>
      <w:r w:rsidRPr="00434F3E">
        <w:rPr>
          <w:color w:val="0F1115"/>
        </w:rPr>
        <w:t xml:space="preserve">энергетическом секторе, вопросам финансирования климатических проектов, </w:t>
      </w:r>
      <w:r w:rsidR="000A4BF3">
        <w:rPr>
          <w:color w:val="0F1115"/>
        </w:rPr>
        <w:t xml:space="preserve">экологическому благополучию и экологической безопасности, </w:t>
      </w:r>
      <w:r w:rsidRPr="00434F3E">
        <w:rPr>
          <w:color w:val="0F1115"/>
        </w:rPr>
        <w:t>а также инструментам экологической политики для арктических и северных регионов.</w:t>
      </w:r>
    </w:p>
    <w:p w14:paraId="60ED3870" w14:textId="77777777" w:rsidR="00434F3E" w:rsidRPr="00434F3E" w:rsidRDefault="00434F3E" w:rsidP="00434F3E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3.2. Ключевые доклады пленарного заседания</w:t>
      </w:r>
    </w:p>
    <w:p w14:paraId="63DF6CCB" w14:textId="77777777" w:rsidR="00434F3E" w:rsidRPr="00434F3E" w:rsidRDefault="00434F3E" w:rsidP="00922A5B">
      <w:pPr>
        <w:numPr>
          <w:ilvl w:val="0"/>
          <w:numId w:val="4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Замятина М.Ф.</w:t>
      </w:r>
      <w:r w:rsidRPr="00434F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д.э.н., профессор, главный научный сотрудник Института проблем региональной экономики РАН: «Новые модели экономики как фактор устойчивого развития регионов России»;</w:t>
      </w:r>
    </w:p>
    <w:p w14:paraId="0D5D95AB" w14:textId="77777777" w:rsidR="00434F3E" w:rsidRPr="00434F3E" w:rsidRDefault="00434F3E" w:rsidP="00922A5B">
      <w:pPr>
        <w:numPr>
          <w:ilvl w:val="0"/>
          <w:numId w:val="4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proofErr w:type="spellStart"/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Гашо</w:t>
      </w:r>
      <w:proofErr w:type="spellEnd"/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Е.Г.</w:t>
      </w:r>
      <w:r w:rsidRPr="00434F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д.т.н., заведующий научно-исследовательской лабораторией методологических проблем энергосбережения НИУ «МЭИ»: «Адаптивность как ключевой механизм устойчивого развития регионов РФ: энергетический взгляд»;</w:t>
      </w:r>
    </w:p>
    <w:p w14:paraId="5A438681" w14:textId="77777777" w:rsidR="00434F3E" w:rsidRPr="00434F3E" w:rsidRDefault="00434F3E" w:rsidP="00922A5B">
      <w:pPr>
        <w:numPr>
          <w:ilvl w:val="0"/>
          <w:numId w:val="4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Кабир Л.С.</w:t>
      </w:r>
      <w:r w:rsidRPr="00434F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д.э.н., профессор РАН, главный научный сотрудник Центра международных финансов ФГБУ НИФИ Минфина России: «Основные участники финансирования климатически значимой деятельности: государственная поддержка и рыночное финансирование»;</w:t>
      </w:r>
    </w:p>
    <w:p w14:paraId="6B8BE458" w14:textId="77777777" w:rsidR="00434F3E" w:rsidRPr="00434F3E" w:rsidRDefault="00434F3E" w:rsidP="00922A5B">
      <w:pPr>
        <w:numPr>
          <w:ilvl w:val="0"/>
          <w:numId w:val="4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Дружинин П.В.</w:t>
      </w:r>
      <w:r w:rsidRPr="00434F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д.э.н., ведущий научный сотрудник Карельского научного центра РАН: «Экономическая политика и охрана окружающей среды: северные регионы и проблема оценки»;</w:t>
      </w:r>
    </w:p>
    <w:p w14:paraId="70C3E9DE" w14:textId="77777777" w:rsidR="00434F3E" w:rsidRPr="00434F3E" w:rsidRDefault="00434F3E" w:rsidP="00922A5B">
      <w:pPr>
        <w:numPr>
          <w:ilvl w:val="0"/>
          <w:numId w:val="4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Маслобоев В.А.</w:t>
      </w:r>
      <w:r w:rsidRPr="00434F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д.т.н., советник генерального директора Кольского научного центра РАН и </w:t>
      </w:r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Ключникова Е.В.</w:t>
      </w:r>
      <w:r w:rsidRPr="00434F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к.э.н., ведущий научный сотрудник Кольского научного центра РАН: «Актуальные инструменты формирования политики экологического благополучия (экологической безопасности) в Арктических регионах»;</w:t>
      </w:r>
    </w:p>
    <w:p w14:paraId="26EFEB0D" w14:textId="77777777" w:rsidR="00434F3E" w:rsidRPr="00434F3E" w:rsidRDefault="00434F3E" w:rsidP="00922A5B">
      <w:pPr>
        <w:numPr>
          <w:ilvl w:val="0"/>
          <w:numId w:val="4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proofErr w:type="spellStart"/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Гордышевский</w:t>
      </w:r>
      <w:proofErr w:type="spellEnd"/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С.М.</w:t>
      </w:r>
      <w:r w:rsidRPr="00434F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председатель правления Экологического союза: «Экологическое благополучие – ключевая составляющая экологической безопасности населения Санкт-Петербурга»;</w:t>
      </w:r>
    </w:p>
    <w:p w14:paraId="5D191FDF" w14:textId="77777777" w:rsidR="00434F3E" w:rsidRPr="00434F3E" w:rsidRDefault="00434F3E" w:rsidP="00922A5B">
      <w:pPr>
        <w:numPr>
          <w:ilvl w:val="0"/>
          <w:numId w:val="4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Питиримов Н.В.</w:t>
      </w:r>
      <w:r w:rsidRPr="00434F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сопредседатель Делового объединения кластеров России: «Роль кластерных объединений в устойчивом развитии регионов России»;</w:t>
      </w:r>
    </w:p>
    <w:p w14:paraId="27E89929" w14:textId="77777777" w:rsidR="00434F3E" w:rsidRPr="00434F3E" w:rsidRDefault="00434F3E" w:rsidP="00922A5B">
      <w:pPr>
        <w:numPr>
          <w:ilvl w:val="0"/>
          <w:numId w:val="4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Заборовская О.В.</w:t>
      </w:r>
      <w:r w:rsidRPr="00434F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д.э.н., профессор Государственного института экономики, финансов, права и технологий: «Обеспечение устойчивости региональной экономической системы в условиях социальных вызовов»;</w:t>
      </w:r>
    </w:p>
    <w:p w14:paraId="214889FF" w14:textId="77777777" w:rsidR="00434F3E" w:rsidRPr="00434F3E" w:rsidRDefault="00434F3E" w:rsidP="00922A5B">
      <w:pPr>
        <w:numPr>
          <w:ilvl w:val="0"/>
          <w:numId w:val="4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lastRenderedPageBreak/>
        <w:t>Колмаков А.Н.</w:t>
      </w:r>
      <w:r w:rsidRPr="00434F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д.э.н., директор Центра экономических исследований рыбного хозяйства ВНИРО: «Устойчивое развитие прибрежных территорий в новых реалиях»;</w:t>
      </w:r>
    </w:p>
    <w:p w14:paraId="6F350C76" w14:textId="39209175" w:rsidR="00434F3E" w:rsidRPr="00434F3E" w:rsidRDefault="00434F3E" w:rsidP="00922A5B">
      <w:pPr>
        <w:numPr>
          <w:ilvl w:val="0"/>
          <w:numId w:val="46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434F3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Отставное С.С.</w:t>
      </w:r>
      <w:r w:rsidRPr="00434F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к.э.н., председатель комитета Ассоциации специалистов по оценке технологий здравоохранения: «Цифровизация как фактор развития биоэкономики в регионах России».</w:t>
      </w:r>
    </w:p>
    <w:p w14:paraId="00D7F642" w14:textId="701BF266" w:rsid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3.</w:t>
      </w:r>
      <w:r w:rsidR="00434F3E">
        <w:rPr>
          <w:rStyle w:val="a3"/>
          <w:color w:val="0F1115"/>
        </w:rPr>
        <w:t>3.</w:t>
      </w:r>
      <w:r w:rsidRPr="005C0B36">
        <w:rPr>
          <w:rStyle w:val="a3"/>
          <w:color w:val="0F1115"/>
        </w:rPr>
        <w:t xml:space="preserve"> Деловая программа</w:t>
      </w:r>
    </w:p>
    <w:p w14:paraId="6E221EF1" w14:textId="7548B1C0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>В ходе конференции был подписан Договор о сетевой форме реализации программы магистратуры 38.04.01 «Экономика» (профиль «Экономика фирмы») между Институтом проблем региональной экономики РАН и Пермским национальным исследовательским политехническим университетом.</w:t>
      </w:r>
    </w:p>
    <w:p w14:paraId="2E09FD3C" w14:textId="5E90A0E7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>Состоялась презентация новой программы дополнительного профессионального образования «Квалифицированный заказчик – квалифицированный исполнитель "Цифровое моделирование в промышленности"», реализуемой Институтом проблем региональной экономики РАН совместно с Санкт-Петербургским политехническим университетом Петра Великого.</w:t>
      </w:r>
    </w:p>
    <w:p w14:paraId="4924483F" w14:textId="5A80F74F" w:rsid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3.</w:t>
      </w:r>
      <w:r w:rsidR="00434F3E">
        <w:rPr>
          <w:rStyle w:val="a3"/>
          <w:color w:val="0F1115"/>
        </w:rPr>
        <w:t>4</w:t>
      </w:r>
      <w:r w:rsidRPr="005C0B36">
        <w:rPr>
          <w:rStyle w:val="a3"/>
          <w:color w:val="0F1115"/>
        </w:rPr>
        <w:t>. Награждение и секционные заседания</w:t>
      </w:r>
    </w:p>
    <w:p w14:paraId="5044C009" w14:textId="407E4304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>Были подведены итоги и награжден</w:t>
      </w:r>
      <w:r w:rsidR="00B26BD7">
        <w:rPr>
          <w:color w:val="0F1115"/>
        </w:rPr>
        <w:t>ы победители</w:t>
      </w:r>
      <w:r w:rsidRPr="005C0B36">
        <w:rPr>
          <w:color w:val="0F1115"/>
        </w:rPr>
        <w:t xml:space="preserve"> Конкурса студенческих научных работ по устойчивому развитию имени О.П. Литовки.</w:t>
      </w:r>
      <w:r w:rsidR="00B26BD7" w:rsidRPr="00B26BD7">
        <w:rPr>
          <w:color w:val="0F1115"/>
        </w:rPr>
        <w:t xml:space="preserve"> </w:t>
      </w:r>
      <w:r w:rsidR="00B26BD7">
        <w:rPr>
          <w:color w:val="0F1115"/>
        </w:rPr>
        <w:t xml:space="preserve">Всего в 6 номинациях было отмечено 27 представленных на конкурс работ. Памятные грамоты победителям вручил </w:t>
      </w:r>
      <w:r w:rsidR="00B26BD7" w:rsidRPr="00B26BD7">
        <w:rPr>
          <w:color w:val="0F1115"/>
        </w:rPr>
        <w:t>Депутат Законодательного Собрания Санкт-Петербурга VI, VII созыва</w:t>
      </w:r>
      <w:r w:rsidR="00B26BD7">
        <w:rPr>
          <w:color w:val="0F1115"/>
        </w:rPr>
        <w:t xml:space="preserve"> Цивилев А.Н.</w:t>
      </w:r>
    </w:p>
    <w:p w14:paraId="4C4CA1CC" w14:textId="05BE0581" w:rsidR="000A4BF3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>В течение двух дней работали секционные заседания и круглые столы, посвященные технологическому и организационно-экономическому обеспечению новых моделей экономики, их аналитическому и кадровому сопровождению</w:t>
      </w:r>
      <w:r w:rsidR="000A4BF3">
        <w:rPr>
          <w:color w:val="0F1115"/>
        </w:rPr>
        <w:t>:</w:t>
      </w:r>
    </w:p>
    <w:p w14:paraId="70EB717F" w14:textId="77777777" w:rsidR="00BB670B" w:rsidRPr="00BB670B" w:rsidRDefault="00BB670B" w:rsidP="00BB670B">
      <w:pPr>
        <w:pStyle w:val="ds-markdown-paragraph"/>
        <w:numPr>
          <w:ilvl w:val="0"/>
          <w:numId w:val="47"/>
        </w:numPr>
        <w:shd w:val="clear" w:color="auto" w:fill="FFFFFF"/>
        <w:spacing w:before="240" w:after="240"/>
        <w:jc w:val="both"/>
        <w:rPr>
          <w:color w:val="0F1115"/>
        </w:rPr>
      </w:pPr>
      <w:r w:rsidRPr="00BB670B">
        <w:rPr>
          <w:color w:val="0F1115"/>
        </w:rPr>
        <w:t>Круглый стол «Новые модели экономики как инструмент достижения устойчивого развития регионов» (</w:t>
      </w:r>
      <w:r>
        <w:rPr>
          <w:color w:val="0F1115"/>
        </w:rPr>
        <w:t>модератор: Замятина</w:t>
      </w:r>
      <w:r w:rsidRPr="00BB670B">
        <w:rPr>
          <w:color w:val="0F1115"/>
        </w:rPr>
        <w:t xml:space="preserve"> Маргарита Федоровна, Доктор экономических наук, профессор, главный научный сотрудник Инсти</w:t>
      </w:r>
      <w:r>
        <w:rPr>
          <w:color w:val="0F1115"/>
        </w:rPr>
        <w:t>т</w:t>
      </w:r>
      <w:r w:rsidRPr="00BB670B">
        <w:rPr>
          <w:color w:val="0F1115"/>
        </w:rPr>
        <w:t>ут проблем региональной экономики РАН)</w:t>
      </w:r>
    </w:p>
    <w:p w14:paraId="30D0F466" w14:textId="455BAD06" w:rsidR="00B22636" w:rsidRPr="00BB670B" w:rsidRDefault="00B22636" w:rsidP="00962E1E">
      <w:pPr>
        <w:pStyle w:val="ds-markdown-paragraph"/>
        <w:numPr>
          <w:ilvl w:val="0"/>
          <w:numId w:val="47"/>
        </w:numPr>
        <w:shd w:val="clear" w:color="auto" w:fill="FFFFFF"/>
        <w:spacing w:before="240" w:after="240"/>
        <w:jc w:val="both"/>
        <w:rPr>
          <w:color w:val="0F1115"/>
        </w:rPr>
      </w:pPr>
      <w:r w:rsidRPr="00BB670B">
        <w:rPr>
          <w:color w:val="0F1115"/>
        </w:rPr>
        <w:t>Секция «Технологическое обеспечение развития новых моделей экономики в регионах России»</w:t>
      </w:r>
      <w:r w:rsidR="00BB670B" w:rsidRPr="00BB670B">
        <w:rPr>
          <w:color w:val="0F1115"/>
        </w:rPr>
        <w:t xml:space="preserve"> (</w:t>
      </w:r>
      <w:r w:rsidR="00BB670B">
        <w:rPr>
          <w:color w:val="0F1115"/>
        </w:rPr>
        <w:t>модератор: Немова</w:t>
      </w:r>
      <w:r w:rsidR="00BB670B" w:rsidRPr="00BB670B">
        <w:rPr>
          <w:color w:val="0F1115"/>
        </w:rPr>
        <w:t xml:space="preserve"> Дарья Викторовна, к.т.н., научный сотрудник, Институт проблем региональной экономики РАН)</w:t>
      </w:r>
    </w:p>
    <w:p w14:paraId="64D9F031" w14:textId="40B3ED97" w:rsidR="00B22636" w:rsidRPr="00BB670B" w:rsidRDefault="00B22636" w:rsidP="00034144">
      <w:pPr>
        <w:pStyle w:val="ds-markdown-paragraph"/>
        <w:numPr>
          <w:ilvl w:val="0"/>
          <w:numId w:val="47"/>
        </w:numPr>
        <w:shd w:val="clear" w:color="auto" w:fill="FFFFFF"/>
        <w:spacing w:before="240" w:after="240"/>
        <w:jc w:val="both"/>
        <w:rPr>
          <w:color w:val="0F1115"/>
        </w:rPr>
      </w:pPr>
      <w:r w:rsidRPr="00BB670B">
        <w:rPr>
          <w:color w:val="0F1115"/>
        </w:rPr>
        <w:t>Секция «Организационно-экономическое обеспечение развития новых моделей экономики в субъектах СЗФО РФ»</w:t>
      </w:r>
      <w:r w:rsidR="00BB670B" w:rsidRPr="00BB670B">
        <w:rPr>
          <w:color w:val="0F1115"/>
        </w:rPr>
        <w:t xml:space="preserve"> (модератор: </w:t>
      </w:r>
      <w:r w:rsidR="00BB670B">
        <w:rPr>
          <w:color w:val="0F1115"/>
        </w:rPr>
        <w:t xml:space="preserve">Ширнова </w:t>
      </w:r>
      <w:r w:rsidR="00BB670B" w:rsidRPr="00BB670B">
        <w:rPr>
          <w:color w:val="0F1115"/>
        </w:rPr>
        <w:t>Светлана Анатольевна, к.э.н., старший научный сотрудник, Институт проблем региональной экономики РАН)</w:t>
      </w:r>
    </w:p>
    <w:p w14:paraId="0C8A7B73" w14:textId="13679C8E" w:rsidR="00B22636" w:rsidRPr="00BB670B" w:rsidRDefault="00B22636" w:rsidP="006C4DAA">
      <w:pPr>
        <w:pStyle w:val="ds-markdown-paragraph"/>
        <w:numPr>
          <w:ilvl w:val="0"/>
          <w:numId w:val="47"/>
        </w:numPr>
        <w:shd w:val="clear" w:color="auto" w:fill="FFFFFF"/>
        <w:spacing w:before="240" w:after="240"/>
        <w:jc w:val="both"/>
        <w:rPr>
          <w:color w:val="0F1115"/>
        </w:rPr>
      </w:pPr>
      <w:r w:rsidRPr="00BB670B">
        <w:rPr>
          <w:color w:val="0F1115"/>
        </w:rPr>
        <w:t>Круглый стол «Аналитическое, методическое и кадровое обеспечение новых моделей экономики»</w:t>
      </w:r>
      <w:r w:rsidR="00BB670B" w:rsidRPr="00BB670B">
        <w:rPr>
          <w:color w:val="0F1115"/>
        </w:rPr>
        <w:t xml:space="preserve"> (модератор: </w:t>
      </w:r>
      <w:r w:rsidR="00BB670B">
        <w:rPr>
          <w:color w:val="0F1115"/>
        </w:rPr>
        <w:t>Дорофеева</w:t>
      </w:r>
      <w:r w:rsidR="00BB670B" w:rsidRPr="00BB670B">
        <w:rPr>
          <w:color w:val="0F1115"/>
        </w:rPr>
        <w:t xml:space="preserve"> Людмила Владимировна, к.э.н., Председатель Совета молодых ученых и специалистов Института проблем региональной экономики РАН)</w:t>
      </w:r>
    </w:p>
    <w:p w14:paraId="1263C9AD" w14:textId="0CE01463" w:rsidR="00B22636" w:rsidRDefault="00B22636" w:rsidP="00650F59">
      <w:pPr>
        <w:pStyle w:val="ds-markdown-paragraph"/>
        <w:numPr>
          <w:ilvl w:val="0"/>
          <w:numId w:val="47"/>
        </w:numPr>
        <w:shd w:val="clear" w:color="auto" w:fill="FFFFFF"/>
        <w:spacing w:before="240" w:after="240"/>
        <w:jc w:val="both"/>
        <w:rPr>
          <w:color w:val="0F1115"/>
        </w:rPr>
      </w:pPr>
      <w:r w:rsidRPr="00BB670B">
        <w:rPr>
          <w:color w:val="0F1115"/>
        </w:rPr>
        <w:t>Круглый стол «Научно-технологическая поддержка развития новых моделей экономики в регионах России»</w:t>
      </w:r>
      <w:r w:rsidR="00BB670B" w:rsidRPr="00BB670B">
        <w:rPr>
          <w:color w:val="0F1115"/>
        </w:rPr>
        <w:t xml:space="preserve"> (модератор: Отставнов Станислав Сергеевич, к.э.н., председатель </w:t>
      </w:r>
      <w:proofErr w:type="gramStart"/>
      <w:r w:rsidR="00BB670B" w:rsidRPr="00BB670B">
        <w:rPr>
          <w:color w:val="0F1115"/>
        </w:rPr>
        <w:t>Комитета по комплексной оценке</w:t>
      </w:r>
      <w:proofErr w:type="gramEnd"/>
      <w:r w:rsidR="00BB670B" w:rsidRPr="00BB670B">
        <w:rPr>
          <w:color w:val="0F1115"/>
        </w:rPr>
        <w:t xml:space="preserve"> медицинских изделий и информационных технологий, Ассоциация специалистов по оценке технологий здравоохранения, руководитель образовательной программы «Прикладной анализ данных в медицинской сфере», МФТИ)</w:t>
      </w:r>
    </w:p>
    <w:p w14:paraId="7DF6C1CD" w14:textId="14BE35F3" w:rsidR="00BB670B" w:rsidRPr="00BB670B" w:rsidRDefault="00BB670B" w:rsidP="00364C81">
      <w:pPr>
        <w:pStyle w:val="ds-markdown-paragraph"/>
        <w:numPr>
          <w:ilvl w:val="0"/>
          <w:numId w:val="47"/>
        </w:numPr>
        <w:shd w:val="clear" w:color="auto" w:fill="FFFFFF"/>
        <w:spacing w:before="240" w:after="240"/>
        <w:jc w:val="both"/>
        <w:rPr>
          <w:color w:val="0F1115"/>
        </w:rPr>
      </w:pPr>
      <w:r w:rsidRPr="00BB670B">
        <w:rPr>
          <w:color w:val="0F1115"/>
        </w:rPr>
        <w:lastRenderedPageBreak/>
        <w:t>Круглый стол «Национальные проекты России как ответ на вызовы регионального развития: взгляд молодых ученых» (</w:t>
      </w:r>
      <w:r>
        <w:rPr>
          <w:color w:val="0F1115"/>
        </w:rPr>
        <w:t>модератор: Л</w:t>
      </w:r>
      <w:r w:rsidRPr="00BB670B">
        <w:rPr>
          <w:color w:val="0F1115"/>
        </w:rPr>
        <w:t>еонтьева Анна Николаевна, к.э.н., старший научный сотрудник, Институт проблем региональной экономики РАН)</w:t>
      </w:r>
    </w:p>
    <w:p w14:paraId="7887FFEB" w14:textId="58A24B94" w:rsidR="005C0B36" w:rsidRPr="005C0B36" w:rsidRDefault="005C0B36" w:rsidP="00B22636">
      <w:pPr>
        <w:pStyle w:val="ds-markdown-paragraph"/>
        <w:shd w:val="clear" w:color="auto" w:fill="FFFFFF"/>
        <w:spacing w:before="240" w:after="240"/>
        <w:jc w:val="both"/>
        <w:rPr>
          <w:color w:val="0F1115"/>
        </w:rPr>
      </w:pPr>
      <w:r w:rsidRPr="005C0B36">
        <w:rPr>
          <w:color w:val="0F1115"/>
        </w:rPr>
        <w:t xml:space="preserve">Отдельно были организованы молодежная секция и </w:t>
      </w:r>
      <w:proofErr w:type="spellStart"/>
      <w:r w:rsidRPr="005C0B36">
        <w:rPr>
          <w:color w:val="0F1115"/>
        </w:rPr>
        <w:t>постерная</w:t>
      </w:r>
      <w:proofErr w:type="spellEnd"/>
      <w:r w:rsidRPr="005C0B36">
        <w:rPr>
          <w:color w:val="0F1115"/>
        </w:rPr>
        <w:t xml:space="preserve"> сессия, на которых с результатами своих исследований выступили аспиранты и студенты. Заключительный </w:t>
      </w:r>
      <w:r w:rsidR="000A4BF3">
        <w:rPr>
          <w:color w:val="0F1115"/>
        </w:rPr>
        <w:t xml:space="preserve">молодежный </w:t>
      </w:r>
      <w:r w:rsidRPr="005C0B36">
        <w:rPr>
          <w:color w:val="0F1115"/>
        </w:rPr>
        <w:t>круглый стол</w:t>
      </w:r>
      <w:r w:rsidR="00B22636">
        <w:rPr>
          <w:color w:val="0F1115"/>
        </w:rPr>
        <w:t xml:space="preserve"> </w:t>
      </w:r>
      <w:r w:rsidR="00B22636" w:rsidRPr="00B22636">
        <w:rPr>
          <w:color w:val="0F1115"/>
        </w:rPr>
        <w:t>«</w:t>
      </w:r>
      <w:r w:rsidR="00B22636">
        <w:rPr>
          <w:color w:val="0F1115"/>
        </w:rPr>
        <w:t>Н</w:t>
      </w:r>
      <w:r w:rsidR="00B22636" w:rsidRPr="00B22636">
        <w:rPr>
          <w:color w:val="0F1115"/>
        </w:rPr>
        <w:t xml:space="preserve">ациональные проекты </w:t>
      </w:r>
      <w:r w:rsidR="00B22636">
        <w:rPr>
          <w:color w:val="0F1115"/>
        </w:rPr>
        <w:t>Р</w:t>
      </w:r>
      <w:r w:rsidR="00B22636" w:rsidRPr="00B22636">
        <w:rPr>
          <w:color w:val="0F1115"/>
        </w:rPr>
        <w:t>оссии как</w:t>
      </w:r>
      <w:r w:rsidR="00B22636">
        <w:rPr>
          <w:color w:val="0F1115"/>
        </w:rPr>
        <w:t xml:space="preserve"> </w:t>
      </w:r>
      <w:r w:rsidR="00B22636" w:rsidRPr="00B22636">
        <w:rPr>
          <w:color w:val="0F1115"/>
        </w:rPr>
        <w:t>ответ на вызовы регионального развития: взгляд</w:t>
      </w:r>
      <w:r w:rsidR="00B22636">
        <w:rPr>
          <w:color w:val="0F1115"/>
        </w:rPr>
        <w:t xml:space="preserve"> </w:t>
      </w:r>
      <w:r w:rsidR="00B22636" w:rsidRPr="00B22636">
        <w:rPr>
          <w:color w:val="0F1115"/>
        </w:rPr>
        <w:t>молодых ученых»</w:t>
      </w:r>
      <w:r w:rsidRPr="005C0B36">
        <w:rPr>
          <w:color w:val="0F1115"/>
        </w:rPr>
        <w:t xml:space="preserve"> был посвящен роли национальных проектов в решении задач регионального развития.</w:t>
      </w:r>
    </w:p>
    <w:p w14:paraId="1471D4BB" w14:textId="77777777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4. Научные итоги конференции</w:t>
      </w:r>
    </w:p>
    <w:p w14:paraId="6DFAD53C" w14:textId="77777777" w:rsid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color w:val="0F1115"/>
        </w:rPr>
        <w:t>В результате работы конференции были получены следующие научные результаты:</w:t>
      </w:r>
    </w:p>
    <w:p w14:paraId="6E59A466" w14:textId="1FAEED71" w:rsidR="00B26BD7" w:rsidRDefault="006E0399" w:rsidP="00B3438E">
      <w:pPr>
        <w:pStyle w:val="ds-markdown-paragraph"/>
        <w:numPr>
          <w:ilvl w:val="0"/>
          <w:numId w:val="48"/>
        </w:numPr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xml:space="preserve">Новые модели экономики рассмотрены как новые условия и факторы конкурентоспособности региональной экономики, экологического благополучия и экологической безопасности региональной среды обитания (результат фундаментальных научных исследований Института проблем региональной экономики РАН по теме </w:t>
      </w:r>
      <w:r w:rsidRPr="005263BE">
        <w:t>FMGS-2024-000</w:t>
      </w:r>
      <w:r>
        <w:t xml:space="preserve"> «</w:t>
      </w:r>
      <w:r w:rsidRPr="005263BE">
        <w:t>Новые условия и факторы социально-экологического развития регионов России в условиях цифровой трансформации экономики и общества</w:t>
      </w:r>
      <w:r>
        <w:t>»</w:t>
      </w:r>
      <w:r>
        <w:rPr>
          <w:color w:val="0F1115"/>
        </w:rPr>
        <w:t>).</w:t>
      </w:r>
    </w:p>
    <w:p w14:paraId="0315CAA4" w14:textId="1EA30092" w:rsidR="00B3438E" w:rsidRDefault="00B22636" w:rsidP="00B3438E">
      <w:pPr>
        <w:pStyle w:val="ds-markdown-paragraph"/>
        <w:numPr>
          <w:ilvl w:val="0"/>
          <w:numId w:val="48"/>
        </w:numPr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>Рассмотрена роль и место биоэкономики в устойчивом развитии регионов, импортозамещение и технологический суверенитет как фактор развития биоэкономики, биоэкономика как новый фактор социально-экологического развития регионов</w:t>
      </w:r>
      <w:r w:rsidR="00B3438E">
        <w:rPr>
          <w:color w:val="0F1115"/>
        </w:rPr>
        <w:t>, синтез моделей «зеленой» экономики, экономики замкнутого цикла и биоэкономики.</w:t>
      </w:r>
    </w:p>
    <w:p w14:paraId="307C49A8" w14:textId="0A3DA915" w:rsidR="00B22636" w:rsidRDefault="00B3438E" w:rsidP="00B3438E">
      <w:pPr>
        <w:pStyle w:val="ds-markdown-paragraph"/>
        <w:numPr>
          <w:ilvl w:val="0"/>
          <w:numId w:val="48"/>
        </w:numPr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 xml:space="preserve">Обоснована необходимость институционализации развития новых моделей экономики </w:t>
      </w:r>
      <w:r w:rsidR="00B22636">
        <w:rPr>
          <w:color w:val="0F1115"/>
        </w:rPr>
        <w:t>как механизма устойчивого развития на принципах эколого-экономической и эколого-социальной сбалансированности</w:t>
      </w:r>
      <w:r>
        <w:rPr>
          <w:color w:val="0F1115"/>
        </w:rPr>
        <w:t xml:space="preserve"> регионального развития</w:t>
      </w:r>
      <w:r w:rsidR="00B22636">
        <w:rPr>
          <w:color w:val="0F1115"/>
        </w:rPr>
        <w:t>.</w:t>
      </w:r>
    </w:p>
    <w:p w14:paraId="7EDF4DEC" w14:textId="77777777" w:rsidR="00B3438E" w:rsidRDefault="00B3438E" w:rsidP="00B3438E">
      <w:pPr>
        <w:pStyle w:val="ds-markdown-paragraph"/>
        <w:numPr>
          <w:ilvl w:val="0"/>
          <w:numId w:val="48"/>
        </w:numPr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>Обоснованы проблемы реализации стратегии экономики замкнутого цикла и стратегии развития биоэкономики, включая подготовку кадров, обладающих необходимыми компетенциями и способных организовать реализацию этих стратегий.</w:t>
      </w:r>
    </w:p>
    <w:p w14:paraId="2CB50FFC" w14:textId="3D78E931" w:rsidR="006E0399" w:rsidRDefault="006E0399" w:rsidP="00B3438E">
      <w:pPr>
        <w:pStyle w:val="ds-markdown-paragraph"/>
        <w:numPr>
          <w:ilvl w:val="0"/>
          <w:numId w:val="48"/>
        </w:numPr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>Выделены проблемы и направления цифровизации экономики замкнутого цикла и биоэкономики и необходимость активизации этих процессов.</w:t>
      </w:r>
    </w:p>
    <w:p w14:paraId="2A9AAC6A" w14:textId="77777777" w:rsidR="006E0399" w:rsidRDefault="006E0399" w:rsidP="006E0399">
      <w:pPr>
        <w:pStyle w:val="ds-markdown-paragraph"/>
        <w:numPr>
          <w:ilvl w:val="0"/>
          <w:numId w:val="48"/>
        </w:numPr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>Выполнен анализ актуальных инструментов политики экологического благополучия (экологической безопасности) в арктических регионах; оценки экономической политики и охраны окружающей среды в северных регионах; устойчивого развития прибрежных территорий в новых реалиях.</w:t>
      </w:r>
    </w:p>
    <w:p w14:paraId="36F76CAE" w14:textId="7D32BDA9" w:rsidR="00B3438E" w:rsidRDefault="00B3438E" w:rsidP="00B3438E">
      <w:pPr>
        <w:pStyle w:val="ds-markdown-paragraph"/>
        <w:numPr>
          <w:ilvl w:val="0"/>
          <w:numId w:val="48"/>
        </w:numPr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>Предложен методический подход к организации энергоперехода в России, включая а</w:t>
      </w:r>
      <w:r w:rsidRPr="00B3438E">
        <w:rPr>
          <w:color w:val="0F1115"/>
        </w:rPr>
        <w:t>даптивность как ключевой механизм устойчивого развития регионов РФ</w:t>
      </w:r>
      <w:r w:rsidR="00B26BD7">
        <w:rPr>
          <w:color w:val="0F1115"/>
        </w:rPr>
        <w:t>, и кластерный подход к устойчивому развитию регионов России.</w:t>
      </w:r>
    </w:p>
    <w:p w14:paraId="3AE3EB9A" w14:textId="77777777" w:rsidR="005C0B36" w:rsidRPr="005C0B36" w:rsidRDefault="005C0B36" w:rsidP="005C0B3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C0B36">
        <w:rPr>
          <w:rStyle w:val="a3"/>
          <w:color w:val="0F1115"/>
        </w:rPr>
        <w:t>5. Заключение</w:t>
      </w:r>
    </w:p>
    <w:p w14:paraId="3C9CCDB1" w14:textId="75852B6F" w:rsidR="007E10FE" w:rsidRDefault="005C0B36" w:rsidP="000A4BF3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  <w:lang w:val="en-US"/>
        </w:rPr>
      </w:pPr>
      <w:r w:rsidRPr="005C0B36">
        <w:rPr>
          <w:color w:val="0F1115"/>
        </w:rPr>
        <w:t xml:space="preserve">Проведенная IV Международная научно-практическая конференция «Устойчивое развитие регионов: проблемы и перспективы» успешно выполнила поставленные задачи по </w:t>
      </w:r>
      <w:r w:rsidRPr="005C0B36">
        <w:rPr>
          <w:color w:val="0F1115"/>
        </w:rPr>
        <w:lastRenderedPageBreak/>
        <w:t>апробации результатов научных исследований в рамках ПФНИ 7.5.2.1.</w:t>
      </w:r>
      <w:r w:rsidR="006E0399">
        <w:rPr>
          <w:color w:val="0F1115"/>
        </w:rPr>
        <w:t xml:space="preserve"> </w:t>
      </w:r>
      <w:r w:rsidR="006E0399" w:rsidRPr="006E0399">
        <w:rPr>
          <w:color w:val="0F1115"/>
        </w:rPr>
        <w:t>«Теория и инструментальная база анализа пространственной экономики; закономерности трансформации социально-экономического пространства Российской Федерации; российские регионы и их взаимодействие», а также с целью</w:t>
      </w:r>
      <w:r w:rsidRPr="005C0B36">
        <w:rPr>
          <w:color w:val="0F1115"/>
        </w:rPr>
        <w:t xml:space="preserve"> и комплексному анализу проблем устойчивого развития регионов. </w:t>
      </w:r>
      <w:r w:rsidR="006E0399">
        <w:rPr>
          <w:color w:val="0F1115"/>
        </w:rPr>
        <w:t>Конференция</w:t>
      </w:r>
      <w:r w:rsidRPr="005C0B36">
        <w:rPr>
          <w:color w:val="0F1115"/>
        </w:rPr>
        <w:t xml:space="preserve"> способствовал</w:t>
      </w:r>
      <w:r w:rsidR="006E0399">
        <w:rPr>
          <w:color w:val="0F1115"/>
        </w:rPr>
        <w:t>а</w:t>
      </w:r>
      <w:r w:rsidRPr="005C0B36">
        <w:rPr>
          <w:color w:val="0F1115"/>
        </w:rPr>
        <w:t xml:space="preserve"> консолидации научного сообщества, обмену опытом и выработке практико-ориентированных решений для обеспечения сбалансированного и устойчивого развития регионов Российской Федерации и стран-партнеров. Полученные научные результаты могут быть использованы органами государственной власти и бизнес-структурами при формировании стратегий </w:t>
      </w:r>
      <w:r w:rsidR="00BB670B">
        <w:rPr>
          <w:color w:val="0F1115"/>
        </w:rPr>
        <w:t>устойчивого</w:t>
      </w:r>
      <w:r w:rsidRPr="005C0B36">
        <w:rPr>
          <w:color w:val="0F1115"/>
        </w:rPr>
        <w:t xml:space="preserve"> развития</w:t>
      </w:r>
      <w:r w:rsidR="00BB670B">
        <w:rPr>
          <w:color w:val="0F1115"/>
        </w:rPr>
        <w:t xml:space="preserve"> регионов на принципах эколого-экономической и социально-экологической сбалансированности</w:t>
      </w:r>
      <w:r w:rsidRPr="005C0B36">
        <w:rPr>
          <w:color w:val="0F1115"/>
        </w:rPr>
        <w:t>.</w:t>
      </w:r>
    </w:p>
    <w:p w14:paraId="7A0E609F" w14:textId="77777777" w:rsidR="00922A5B" w:rsidRDefault="00922A5B" w:rsidP="000A4BF3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  <w:lang w:val="en-US"/>
        </w:rPr>
      </w:pPr>
    </w:p>
    <w:p w14:paraId="7C61B628" w14:textId="0C366F95" w:rsidR="00922A5B" w:rsidRPr="00922A5B" w:rsidRDefault="00922A5B" w:rsidP="000A4BF3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  <w:shd w:val="clear" w:color="auto" w:fill="FFFFFF"/>
        </w:rPr>
      </w:pPr>
      <w:r>
        <w:rPr>
          <w:color w:val="0F1115"/>
        </w:rPr>
        <w:t>Ученый секретарь конференции,</w:t>
      </w:r>
      <w:r w:rsidRPr="00922A5B">
        <w:rPr>
          <w:color w:val="0F1115"/>
        </w:rPr>
        <w:t xml:space="preserve"> </w:t>
      </w:r>
      <w:r>
        <w:rPr>
          <w:color w:val="0F1115"/>
        </w:rPr>
        <w:t>к.э.н.</w:t>
      </w:r>
      <w:r>
        <w:rPr>
          <w:color w:val="0F1115"/>
        </w:rPr>
        <w:tab/>
      </w:r>
      <w:r>
        <w:rPr>
          <w:color w:val="0F1115"/>
        </w:rPr>
        <w:tab/>
      </w:r>
      <w:r>
        <w:rPr>
          <w:color w:val="0F1115"/>
        </w:rPr>
        <w:tab/>
        <w:t>___________________/Фесенко Р.С.</w:t>
      </w:r>
    </w:p>
    <w:sectPr w:rsidR="00922A5B" w:rsidRPr="0092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C4F39"/>
    <w:multiLevelType w:val="multilevel"/>
    <w:tmpl w:val="D33E9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C3149"/>
    <w:multiLevelType w:val="multilevel"/>
    <w:tmpl w:val="DD88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A11CD"/>
    <w:multiLevelType w:val="multilevel"/>
    <w:tmpl w:val="2506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E0A83"/>
    <w:multiLevelType w:val="multilevel"/>
    <w:tmpl w:val="0552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62213"/>
    <w:multiLevelType w:val="hybridMultilevel"/>
    <w:tmpl w:val="BDA6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02B94"/>
    <w:multiLevelType w:val="multilevel"/>
    <w:tmpl w:val="09B8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923AC"/>
    <w:multiLevelType w:val="multilevel"/>
    <w:tmpl w:val="8D2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11916"/>
    <w:multiLevelType w:val="multilevel"/>
    <w:tmpl w:val="D33E9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063380"/>
    <w:multiLevelType w:val="hybridMultilevel"/>
    <w:tmpl w:val="ED34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23C42"/>
    <w:multiLevelType w:val="multilevel"/>
    <w:tmpl w:val="F5D6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63D9A"/>
    <w:multiLevelType w:val="multilevel"/>
    <w:tmpl w:val="D66C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BE0DDD"/>
    <w:multiLevelType w:val="multilevel"/>
    <w:tmpl w:val="2468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C3F90"/>
    <w:multiLevelType w:val="multilevel"/>
    <w:tmpl w:val="6CB8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572D"/>
    <w:multiLevelType w:val="multilevel"/>
    <w:tmpl w:val="4CE0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35F30"/>
    <w:multiLevelType w:val="multilevel"/>
    <w:tmpl w:val="FC76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E25DE"/>
    <w:multiLevelType w:val="hybridMultilevel"/>
    <w:tmpl w:val="EB26C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5603B"/>
    <w:multiLevelType w:val="multilevel"/>
    <w:tmpl w:val="FB8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205A38"/>
    <w:multiLevelType w:val="hybridMultilevel"/>
    <w:tmpl w:val="C3C608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CA514C"/>
    <w:multiLevelType w:val="multilevel"/>
    <w:tmpl w:val="D33E9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476229"/>
    <w:multiLevelType w:val="multilevel"/>
    <w:tmpl w:val="FA40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D83039"/>
    <w:multiLevelType w:val="hybridMultilevel"/>
    <w:tmpl w:val="941A3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807E1"/>
    <w:multiLevelType w:val="multilevel"/>
    <w:tmpl w:val="00F6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3432D"/>
    <w:multiLevelType w:val="multilevel"/>
    <w:tmpl w:val="AD80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1757E0"/>
    <w:multiLevelType w:val="multilevel"/>
    <w:tmpl w:val="088E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C4BE0"/>
    <w:multiLevelType w:val="hybridMultilevel"/>
    <w:tmpl w:val="850476E0"/>
    <w:lvl w:ilvl="0" w:tplc="C3A4ED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03ACC"/>
    <w:multiLevelType w:val="hybridMultilevel"/>
    <w:tmpl w:val="1264F21E"/>
    <w:lvl w:ilvl="0" w:tplc="3DD481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B3223"/>
    <w:multiLevelType w:val="multilevel"/>
    <w:tmpl w:val="351C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C6769"/>
    <w:multiLevelType w:val="hybridMultilevel"/>
    <w:tmpl w:val="E6A6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448C8"/>
    <w:multiLevelType w:val="multilevel"/>
    <w:tmpl w:val="E49E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9C0D66"/>
    <w:multiLevelType w:val="multilevel"/>
    <w:tmpl w:val="4E46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2D0078"/>
    <w:multiLevelType w:val="multilevel"/>
    <w:tmpl w:val="3664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E27508"/>
    <w:multiLevelType w:val="hybridMultilevel"/>
    <w:tmpl w:val="17A8F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6560E"/>
    <w:multiLevelType w:val="hybridMultilevel"/>
    <w:tmpl w:val="2F901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A6002"/>
    <w:multiLevelType w:val="multilevel"/>
    <w:tmpl w:val="FA4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1940BA"/>
    <w:multiLevelType w:val="multilevel"/>
    <w:tmpl w:val="BCD4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EE5D5F"/>
    <w:multiLevelType w:val="multilevel"/>
    <w:tmpl w:val="9174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F31BEA"/>
    <w:multiLevelType w:val="multilevel"/>
    <w:tmpl w:val="D33E9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B33C88"/>
    <w:multiLevelType w:val="multilevel"/>
    <w:tmpl w:val="DF4C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ED4EEB"/>
    <w:multiLevelType w:val="multilevel"/>
    <w:tmpl w:val="9078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FF72FC"/>
    <w:multiLevelType w:val="multilevel"/>
    <w:tmpl w:val="18E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1F7B3E"/>
    <w:multiLevelType w:val="multilevel"/>
    <w:tmpl w:val="7ED6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9E16B7"/>
    <w:multiLevelType w:val="multilevel"/>
    <w:tmpl w:val="549A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001F23"/>
    <w:multiLevelType w:val="multilevel"/>
    <w:tmpl w:val="75D8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E663DA"/>
    <w:multiLevelType w:val="hybridMultilevel"/>
    <w:tmpl w:val="D9C27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976FB"/>
    <w:multiLevelType w:val="multilevel"/>
    <w:tmpl w:val="BA16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F7016E"/>
    <w:multiLevelType w:val="multilevel"/>
    <w:tmpl w:val="0A3E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DF734B"/>
    <w:multiLevelType w:val="multilevel"/>
    <w:tmpl w:val="BF50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919791">
    <w:abstractNumId w:val="36"/>
  </w:num>
  <w:num w:numId="2" w16cid:durableId="1140612025">
    <w:abstractNumId w:val="29"/>
  </w:num>
  <w:num w:numId="3" w16cid:durableId="600067553">
    <w:abstractNumId w:val="30"/>
  </w:num>
  <w:num w:numId="4" w16cid:durableId="1666200567">
    <w:abstractNumId w:val="35"/>
  </w:num>
  <w:num w:numId="5" w16cid:durableId="1364937777">
    <w:abstractNumId w:val="11"/>
  </w:num>
  <w:num w:numId="6" w16cid:durableId="960920046">
    <w:abstractNumId w:val="4"/>
  </w:num>
  <w:num w:numId="7" w16cid:durableId="733549229">
    <w:abstractNumId w:val="47"/>
  </w:num>
  <w:num w:numId="8" w16cid:durableId="149715444">
    <w:abstractNumId w:val="33"/>
  </w:num>
  <w:num w:numId="9" w16cid:durableId="1262102619">
    <w:abstractNumId w:val="41"/>
  </w:num>
  <w:num w:numId="10" w16cid:durableId="1446920276">
    <w:abstractNumId w:val="20"/>
  </w:num>
  <w:num w:numId="11" w16cid:durableId="1861239724">
    <w:abstractNumId w:val="10"/>
  </w:num>
  <w:num w:numId="12" w16cid:durableId="1906990148">
    <w:abstractNumId w:val="17"/>
  </w:num>
  <w:num w:numId="13" w16cid:durableId="1772778062">
    <w:abstractNumId w:val="24"/>
  </w:num>
  <w:num w:numId="14" w16cid:durableId="802817269">
    <w:abstractNumId w:val="39"/>
  </w:num>
  <w:num w:numId="15" w16cid:durableId="1235891188">
    <w:abstractNumId w:val="15"/>
  </w:num>
  <w:num w:numId="16" w16cid:durableId="1025865454">
    <w:abstractNumId w:val="38"/>
  </w:num>
  <w:num w:numId="17" w16cid:durableId="1413044536">
    <w:abstractNumId w:val="14"/>
  </w:num>
  <w:num w:numId="18" w16cid:durableId="196084943">
    <w:abstractNumId w:val="12"/>
  </w:num>
  <w:num w:numId="19" w16cid:durableId="524637722">
    <w:abstractNumId w:val="2"/>
  </w:num>
  <w:num w:numId="20" w16cid:durableId="1995137313">
    <w:abstractNumId w:val="7"/>
  </w:num>
  <w:num w:numId="21" w16cid:durableId="2059470993">
    <w:abstractNumId w:val="43"/>
  </w:num>
  <w:num w:numId="22" w16cid:durableId="1256018613">
    <w:abstractNumId w:val="42"/>
  </w:num>
  <w:num w:numId="23" w16cid:durableId="788087393">
    <w:abstractNumId w:val="22"/>
  </w:num>
  <w:num w:numId="24" w16cid:durableId="1321885416">
    <w:abstractNumId w:val="23"/>
  </w:num>
  <w:num w:numId="25" w16cid:durableId="626202980">
    <w:abstractNumId w:val="40"/>
  </w:num>
  <w:num w:numId="26" w16cid:durableId="1897161364">
    <w:abstractNumId w:val="46"/>
  </w:num>
  <w:num w:numId="27" w16cid:durableId="1705247904">
    <w:abstractNumId w:val="5"/>
  </w:num>
  <w:num w:numId="28" w16cid:durableId="1238128560">
    <w:abstractNumId w:val="18"/>
  </w:num>
  <w:num w:numId="29" w16cid:durableId="420612224">
    <w:abstractNumId w:val="32"/>
  </w:num>
  <w:num w:numId="30" w16cid:durableId="140540898">
    <w:abstractNumId w:val="37"/>
  </w:num>
  <w:num w:numId="31" w16cid:durableId="1153791242">
    <w:abstractNumId w:val="21"/>
  </w:num>
  <w:num w:numId="32" w16cid:durableId="1885363439">
    <w:abstractNumId w:val="9"/>
  </w:num>
  <w:num w:numId="33" w16cid:durableId="1797485512">
    <w:abstractNumId w:val="0"/>
  </w:num>
  <w:num w:numId="34" w16cid:durableId="214435375">
    <w:abstractNumId w:val="27"/>
  </w:num>
  <w:num w:numId="35" w16cid:durableId="403066805">
    <w:abstractNumId w:val="8"/>
  </w:num>
  <w:num w:numId="36" w16cid:durableId="383023566">
    <w:abstractNumId w:val="19"/>
  </w:num>
  <w:num w:numId="37" w16cid:durableId="492186573">
    <w:abstractNumId w:val="26"/>
  </w:num>
  <w:num w:numId="38" w16cid:durableId="18161748">
    <w:abstractNumId w:val="1"/>
  </w:num>
  <w:num w:numId="39" w16cid:durableId="402677789">
    <w:abstractNumId w:val="45"/>
  </w:num>
  <w:num w:numId="40" w16cid:durableId="404038626">
    <w:abstractNumId w:val="28"/>
  </w:num>
  <w:num w:numId="41" w16cid:durableId="548030244">
    <w:abstractNumId w:val="25"/>
  </w:num>
  <w:num w:numId="42" w16cid:durableId="1064257098">
    <w:abstractNumId w:val="6"/>
  </w:num>
  <w:num w:numId="43" w16cid:durableId="928076640">
    <w:abstractNumId w:val="3"/>
  </w:num>
  <w:num w:numId="44" w16cid:durableId="1513762231">
    <w:abstractNumId w:val="34"/>
  </w:num>
  <w:num w:numId="45" w16cid:durableId="2112049412">
    <w:abstractNumId w:val="31"/>
  </w:num>
  <w:num w:numId="46" w16cid:durableId="368069204">
    <w:abstractNumId w:val="13"/>
  </w:num>
  <w:num w:numId="47" w16cid:durableId="1870528729">
    <w:abstractNumId w:val="16"/>
  </w:num>
  <w:num w:numId="48" w16cid:durableId="54861240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84"/>
    <w:rsid w:val="000563F0"/>
    <w:rsid w:val="00056B0A"/>
    <w:rsid w:val="00090A3C"/>
    <w:rsid w:val="000A4BF3"/>
    <w:rsid w:val="000D460F"/>
    <w:rsid w:val="000F049F"/>
    <w:rsid w:val="00107B41"/>
    <w:rsid w:val="00143394"/>
    <w:rsid w:val="00190A58"/>
    <w:rsid w:val="001E39BF"/>
    <w:rsid w:val="00233914"/>
    <w:rsid w:val="00254040"/>
    <w:rsid w:val="003C4785"/>
    <w:rsid w:val="003E1FCD"/>
    <w:rsid w:val="003E2DBC"/>
    <w:rsid w:val="003E7C07"/>
    <w:rsid w:val="003F49F5"/>
    <w:rsid w:val="0040700A"/>
    <w:rsid w:val="00430F84"/>
    <w:rsid w:val="00434F3E"/>
    <w:rsid w:val="004B5F49"/>
    <w:rsid w:val="004D1FA1"/>
    <w:rsid w:val="004E1EC9"/>
    <w:rsid w:val="00526CEF"/>
    <w:rsid w:val="00565655"/>
    <w:rsid w:val="005C0B36"/>
    <w:rsid w:val="006300DD"/>
    <w:rsid w:val="00643F11"/>
    <w:rsid w:val="006E0399"/>
    <w:rsid w:val="0076776E"/>
    <w:rsid w:val="007C77A2"/>
    <w:rsid w:val="007D76B5"/>
    <w:rsid w:val="007E10FE"/>
    <w:rsid w:val="008D4DA3"/>
    <w:rsid w:val="00922A5B"/>
    <w:rsid w:val="00940928"/>
    <w:rsid w:val="00A10474"/>
    <w:rsid w:val="00A52A55"/>
    <w:rsid w:val="00B22636"/>
    <w:rsid w:val="00B26BD7"/>
    <w:rsid w:val="00B3438E"/>
    <w:rsid w:val="00BA1C4A"/>
    <w:rsid w:val="00BB670B"/>
    <w:rsid w:val="00C56DE0"/>
    <w:rsid w:val="00CA36AA"/>
    <w:rsid w:val="00D5677C"/>
    <w:rsid w:val="00D6513A"/>
    <w:rsid w:val="00DD4210"/>
    <w:rsid w:val="00E144D3"/>
    <w:rsid w:val="00E35EF6"/>
    <w:rsid w:val="00E55698"/>
    <w:rsid w:val="00E7001B"/>
    <w:rsid w:val="00F009E1"/>
    <w:rsid w:val="00F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2877"/>
  <w15:chartTrackingRefBased/>
  <w15:docId w15:val="{137E954D-C0A3-7B4B-BC3F-8F713AB7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0F8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430F8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30F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430F8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30F8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430F84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526CE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A36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0D460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D460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D460F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56B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7645">
                  <w:marLeft w:val="4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9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28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369733">
                                                  <w:marLeft w:val="-375"/>
                                                  <w:marRight w:val="-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7395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1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3" w:color="DDDDDD"/>
                                                            <w:left w:val="none" w:sz="0" w:space="0" w:color="auto"/>
                                                            <w:bottom w:val="single" w:sz="6" w:space="19" w:color="DDDDDD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482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67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96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8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666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887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217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286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749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633690">
                                                                                                  <w:marLeft w:val="19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1871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9380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501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70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097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828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092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9469225">
                                                                                                          <w:marLeft w:val="0"/>
                                                                                                          <w:marRight w:val="218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902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3328013">
                                                                                                              <w:marLeft w:val="0"/>
                                                                                                              <w:marRight w:val="19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587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680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8039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4905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71617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5193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04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28815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10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313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712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79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103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13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077144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single" w:sz="6" w:space="19" w:color="DDDDDD"/>
                                                    <w:left w:val="none" w:sz="0" w:space="0" w:color="auto"/>
                                                    <w:bottom w:val="single" w:sz="6" w:space="19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1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132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48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42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5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91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491423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7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797792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62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29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187026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64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82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657935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119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35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387661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48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79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050811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11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44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111524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9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6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922497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7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43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778290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49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5775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3874262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948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654963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10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405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285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425579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35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40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988400">
                                                                  <w:marLeft w:val="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450208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509130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621672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7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45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21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51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46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812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3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49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1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58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98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70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DDDDDD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77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91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249762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508653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3" w:color="DDDDDD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230307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3" w:color="DDDDDD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21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78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42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45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9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5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408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42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0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69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08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17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67224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59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317194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3" w:color="DDDDDD"/>
                                                                            <w:left w:val="none" w:sz="0" w:space="0" w:color="auto"/>
                                                                            <w:bottom w:val="none" w:sz="0" w:space="11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759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6920529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3" w:color="DDDDDD"/>
                                                                            <w:left w:val="none" w:sz="0" w:space="0" w:color="auto"/>
                                                                            <w:bottom w:val="none" w:sz="0" w:space="11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07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5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23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2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14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0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2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1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693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8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32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86809">
                              <w:marLeft w:val="300"/>
                              <w:marRight w:val="30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7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2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9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4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39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8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7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9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65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0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05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78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8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4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9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14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7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90607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11761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0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8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87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7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33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3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4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6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0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6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6899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6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66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1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76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2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53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27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27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1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3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2259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790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44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77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93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740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3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12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0632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8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315814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09938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9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7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Роман Фесенко</cp:lastModifiedBy>
  <cp:revision>2</cp:revision>
  <cp:lastPrinted>2025-10-13T10:50:00Z</cp:lastPrinted>
  <dcterms:created xsi:type="dcterms:W3CDTF">2025-10-14T09:59:00Z</dcterms:created>
  <dcterms:modified xsi:type="dcterms:W3CDTF">2025-10-14T09:59:00Z</dcterms:modified>
</cp:coreProperties>
</file>